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822D38" w:rsidRDefault="002B3752">
      <w:pPr>
        <w:rPr>
          <w:rFonts w:ascii="Arial" w:hAnsi="Arial" w:cs="Arial"/>
          <w:color w:val="616365"/>
        </w:rPr>
      </w:pPr>
      <w:r w:rsidRPr="00822D3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3826949</wp:posOffset>
            </wp:positionH>
            <wp:positionV relativeFrom="page">
              <wp:posOffset>280670</wp:posOffset>
            </wp:positionV>
            <wp:extent cx="1647825" cy="852805"/>
            <wp:effectExtent l="0" t="0" r="9525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4243" b="18488"/>
                    <a:stretch/>
                  </pic:blipFill>
                  <pic:spPr bwMode="auto">
                    <a:xfrm>
                      <a:off x="0" y="0"/>
                      <a:ext cx="16478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D3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5452549</wp:posOffset>
            </wp:positionH>
            <wp:positionV relativeFrom="paragraph">
              <wp:posOffset>-614045</wp:posOffset>
            </wp:positionV>
            <wp:extent cx="764453" cy="8482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0"/>
                    <a:stretch/>
                  </pic:blipFill>
                  <pic:spPr bwMode="auto">
                    <a:xfrm>
                      <a:off x="0" y="0"/>
                      <a:ext cx="764453" cy="848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4CA" w:rsidRPr="00CC0200" w:rsidRDefault="00526472" w:rsidP="009104CA">
      <w:pPr>
        <w:jc w:val="center"/>
        <w:rPr>
          <w:rFonts w:ascii="Arial" w:hAnsi="Arial" w:cs="Arial"/>
          <w:b/>
          <w:color w:val="7B7484"/>
          <w:sz w:val="28"/>
        </w:rPr>
      </w:pPr>
      <w:r w:rsidRPr="00CC0200">
        <w:rPr>
          <w:rFonts w:ascii="Arial" w:hAnsi="Arial" w:cs="Arial"/>
          <w:b/>
          <w:color w:val="7B7484"/>
          <w:sz w:val="28"/>
        </w:rPr>
        <w:t>Embracing change</w:t>
      </w:r>
      <w:bookmarkStart w:id="0" w:name="_GoBack"/>
      <w:bookmarkEnd w:id="0"/>
    </w:p>
    <w:p w:rsidR="009104CA" w:rsidRPr="00822D38" w:rsidRDefault="00526472" w:rsidP="009104CA">
      <w:pPr>
        <w:jc w:val="center"/>
        <w:rPr>
          <w:rFonts w:ascii="Arial" w:hAnsi="Arial" w:cs="Arial"/>
          <w:i/>
          <w:color w:val="616365"/>
        </w:rPr>
      </w:pPr>
      <w:r w:rsidRPr="00822D38">
        <w:rPr>
          <w:rFonts w:ascii="Arial" w:hAnsi="Arial" w:cs="Arial"/>
          <w:i/>
          <w:color w:val="616365"/>
        </w:rPr>
        <w:t>Being open to and engaging with new ideas and ways of working. Adjusting to unfamiliar situations, shifting demands and changing roles.</w:t>
      </w:r>
    </w:p>
    <w:p w:rsidR="009104CA" w:rsidRPr="00CC0200" w:rsidRDefault="009104CA" w:rsidP="009104CA">
      <w:pPr>
        <w:rPr>
          <w:rFonts w:ascii="Arial" w:hAnsi="Arial" w:cs="Arial"/>
          <w:b/>
          <w:color w:val="7B7484"/>
          <w:sz w:val="24"/>
        </w:rPr>
      </w:pPr>
      <w:r w:rsidRPr="00CC0200">
        <w:rPr>
          <w:rFonts w:ascii="Arial" w:hAnsi="Arial" w:cs="Arial"/>
          <w:b/>
          <w:color w:val="7B7484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DA164B">
        <w:trPr>
          <w:trHeight w:val="561"/>
        </w:trPr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DA164B">
        <w:trPr>
          <w:trHeight w:val="296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Accepting that change is an integral part of life </w:t>
            </w:r>
          </w:p>
          <w:p w:rsidR="00DA164B" w:rsidRPr="00822D38" w:rsidRDefault="00DA164B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Demonstrating a willingness to do things differently </w:t>
            </w:r>
          </w:p>
          <w:p w:rsidR="003816BF" w:rsidRPr="00822D38" w:rsidRDefault="003816BF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Making suggestions for improvement </w:t>
            </w:r>
          </w:p>
          <w:p w:rsidR="003816BF" w:rsidRPr="00822D38" w:rsidRDefault="003816BF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Pr="00822D38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Taking a creative approach to change which challenges</w:t>
            </w:r>
          </w:p>
          <w:p w:rsidR="003816BF" w:rsidRPr="00CC0200" w:rsidRDefault="00526472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assumptions and is not based purely on enhancing existing practice 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Pr="00822D38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Viewing change situations as opportunities for improving and developing work </w:t>
            </w:r>
          </w:p>
          <w:p w:rsidR="00FB7D8F" w:rsidRPr="00822D38" w:rsidRDefault="00FB7D8F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822D38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Remaining positive about moving forward despite being realistic about the challenges presented by change </w:t>
            </w:r>
          </w:p>
          <w:p w:rsidR="00B161C3" w:rsidRPr="00822D3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Pr="00822D38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Demonstrating that ‘the way things are done here’ does not restrict you </w:t>
            </w:r>
          </w:p>
          <w:p w:rsidR="00B161C3" w:rsidRPr="00822D3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526472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Challenging the status quo in a constructive way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0624A8" w:rsidRPr="00CC0200" w:rsidRDefault="00AC3184">
      <w:pPr>
        <w:rPr>
          <w:rFonts w:ascii="Arial" w:hAnsi="Arial" w:cs="Arial"/>
          <w:b/>
          <w:color w:val="7B7484"/>
        </w:rPr>
      </w:pPr>
      <w:r w:rsidRPr="00CC0200">
        <w:rPr>
          <w:rFonts w:ascii="Arial" w:hAnsi="Arial" w:cs="Arial"/>
          <w:b/>
          <w:color w:val="7B7484"/>
          <w:sz w:val="24"/>
          <w:szCs w:val="24"/>
        </w:rPr>
        <w:lastRenderedPageBreak/>
        <w:t>O</w:t>
      </w:r>
      <w:r w:rsidR="002F5A81" w:rsidRPr="00CC0200">
        <w:rPr>
          <w:rFonts w:ascii="Arial" w:hAnsi="Arial" w:cs="Arial"/>
          <w:b/>
          <w:color w:val="7B7484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Seeking a diversity of perceptions</w:t>
            </w:r>
          </w:p>
          <w:p w:rsidR="000624A8" w:rsidRPr="00822D38" w:rsidRDefault="000624A8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Pr="00822D38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Encouraging others to initiate and embrace change </w:t>
            </w:r>
          </w:p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Encouraging experimentation and new ways of working  </w:t>
            </w:r>
          </w:p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Providing ongoing support and encouragement to others who are developing and testing solutions </w:t>
            </w:r>
          </w:p>
          <w:p w:rsidR="002F5A81" w:rsidRPr="00822D38" w:rsidRDefault="002F5A81" w:rsidP="002F5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Pr="00822D38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Articulating the purpose of change and the context within which change is happening </w:t>
            </w:r>
          </w:p>
          <w:p w:rsidR="00B161C3" w:rsidRPr="00822D3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Adapting approach to respond to changes outside of the organisation </w:t>
            </w:r>
          </w:p>
          <w:p w:rsidR="00B161C3" w:rsidRPr="00822D3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Communicating change in a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positive manner through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influencing and persuasion </w:t>
            </w:r>
          </w:p>
          <w:p w:rsidR="00B161C3" w:rsidRPr="00822D3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Recognising, respecting and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acknowledging others’ responses to change </w:t>
            </w:r>
          </w:p>
          <w:p w:rsidR="00B161C3" w:rsidRPr="00822D38" w:rsidRDefault="00B161C3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B161C3" w:rsidRPr="00822D38" w:rsidRDefault="00526472" w:rsidP="00A46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Inspiring and motivating others to engage as a team member in identifying and implementing change  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44398F" w:rsidRPr="00822D38" w:rsidRDefault="0044398F">
      <w:pPr>
        <w:rPr>
          <w:rFonts w:ascii="Arial" w:hAnsi="Arial" w:cs="Arial"/>
          <w:color w:val="616365"/>
        </w:rPr>
      </w:pPr>
    </w:p>
    <w:p w:rsidR="002F5A81" w:rsidRPr="00CC0200" w:rsidRDefault="002F5A81">
      <w:pPr>
        <w:rPr>
          <w:rFonts w:ascii="Arial" w:hAnsi="Arial" w:cs="Arial"/>
          <w:b/>
          <w:color w:val="7B7484"/>
          <w:sz w:val="24"/>
        </w:rPr>
      </w:pPr>
      <w:r w:rsidRPr="00CC0200">
        <w:rPr>
          <w:rFonts w:ascii="Arial" w:hAnsi="Arial" w:cs="Arial"/>
          <w:b/>
          <w:color w:val="7B7484"/>
          <w:sz w:val="24"/>
        </w:rPr>
        <w:lastRenderedPageBreak/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Creating a climate that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encourages innovation and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receptivity to change </w:t>
            </w:r>
          </w:p>
          <w:p w:rsidR="002F5A81" w:rsidRPr="00822D38" w:rsidRDefault="002F5A81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822D3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228C8" w:rsidRPr="00822D38" w:rsidTr="00056FB2">
        <w:trPr>
          <w:trHeight w:val="296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Leading by example in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supporting the organisation to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break with traditional methods </w:t>
            </w:r>
          </w:p>
          <w:p w:rsidR="00D228C8" w:rsidRPr="00822D38" w:rsidRDefault="00D228C8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228C8" w:rsidRPr="00822D3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526472" w:rsidRPr="00822D38" w:rsidTr="00056FB2">
        <w:trPr>
          <w:trHeight w:val="296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Communicating upwards to influence policy formulation </w:t>
            </w:r>
          </w:p>
          <w:p w:rsidR="00526472" w:rsidRPr="00822D38" w:rsidRDefault="00526472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526472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526472" w:rsidRPr="00822D38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526472" w:rsidRPr="00822D38" w:rsidTr="00056FB2">
        <w:trPr>
          <w:trHeight w:val="296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Embracing new technologies,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techniques and working</w:t>
            </w:r>
          </w:p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methods </w:t>
            </w:r>
          </w:p>
          <w:p w:rsidR="00526472" w:rsidRPr="00822D38" w:rsidRDefault="00526472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526472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526472" w:rsidRPr="00822D38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526472" w:rsidRPr="00822D38" w:rsidTr="00056FB2">
        <w:trPr>
          <w:trHeight w:val="296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Scanning the wider environment to seek opportunities to develop</w:t>
            </w:r>
          </w:p>
          <w:p w:rsidR="00526472" w:rsidRPr="00822D38" w:rsidRDefault="00526472" w:rsidP="00CC02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 xml:space="preserve">the organisation </w:t>
            </w:r>
          </w:p>
        </w:tc>
        <w:tc>
          <w:tcPr>
            <w:tcW w:w="3233" w:type="dxa"/>
          </w:tcPr>
          <w:p w:rsidR="00526472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CC0200" w:rsidRPr="00822D38" w:rsidRDefault="00CC0200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526472" w:rsidRPr="00822D38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526472" w:rsidRPr="00822D38" w:rsidRDefault="00526472" w:rsidP="00526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822D38">
              <w:rPr>
                <w:rFonts w:ascii="Arial" w:hAnsi="Arial" w:cs="Arial"/>
                <w:color w:val="4B4C4F"/>
              </w:rPr>
              <w:t>Modifying departmental/</w:t>
            </w:r>
          </w:p>
          <w:p w:rsidR="002F5A81" w:rsidRPr="00822D38" w:rsidRDefault="00526472" w:rsidP="0052647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4B4C4F"/>
              </w:rPr>
              <w:t>organisational strategy to adapt to changes in the wider environment</w:t>
            </w: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822D3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822D38" w:rsidRDefault="002F5A81">
      <w:pPr>
        <w:rPr>
          <w:rFonts w:ascii="Arial" w:hAnsi="Arial" w:cs="Arial"/>
          <w:color w:val="616365"/>
          <w:sz w:val="24"/>
        </w:rPr>
      </w:pPr>
    </w:p>
    <w:p w:rsidR="00AC3184" w:rsidRPr="00822D38" w:rsidRDefault="00AC3184" w:rsidP="00AC3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22D38">
        <w:rPr>
          <w:rFonts w:ascii="Arial" w:hAnsi="Arial" w:cs="Arial"/>
          <w:color w:val="4B4C4F"/>
        </w:rPr>
        <w:t xml:space="preserve">Examples of behaviours that may indicate a need for further development in </w:t>
      </w:r>
      <w:r w:rsidR="00526472" w:rsidRPr="00822D38">
        <w:rPr>
          <w:rFonts w:ascii="Arial" w:hAnsi="Arial" w:cs="Arial"/>
          <w:color w:val="4B4C4F"/>
        </w:rPr>
        <w:t>embracing change</w:t>
      </w:r>
      <w:r w:rsidR="00A46D01" w:rsidRPr="00822D38">
        <w:rPr>
          <w:rFonts w:ascii="Arial" w:hAnsi="Arial" w:cs="Arial"/>
          <w:color w:val="4B4C4F"/>
        </w:rPr>
        <w:t>:</w:t>
      </w:r>
    </w:p>
    <w:p w:rsidR="00AC3184" w:rsidRPr="00822D38" w:rsidRDefault="00AC3184" w:rsidP="00AC3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526472" w:rsidRPr="00822D38" w:rsidRDefault="00526472" w:rsidP="0052647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22D38">
        <w:rPr>
          <w:rFonts w:ascii="Arial" w:hAnsi="Arial" w:cs="Arial"/>
          <w:color w:val="4B4C4F"/>
        </w:rPr>
        <w:t xml:space="preserve">Unable to move beyond negative reaction to uncertainty </w:t>
      </w:r>
    </w:p>
    <w:p w:rsidR="00526472" w:rsidRPr="00822D38" w:rsidRDefault="00526472" w:rsidP="0052647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22D38">
        <w:rPr>
          <w:rFonts w:ascii="Arial" w:hAnsi="Arial" w:cs="Arial"/>
          <w:color w:val="4B4C4F"/>
        </w:rPr>
        <w:t xml:space="preserve">Complaining instead of doing something about it </w:t>
      </w:r>
    </w:p>
    <w:p w:rsidR="00526472" w:rsidRPr="00822D38" w:rsidRDefault="00526472" w:rsidP="0052647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822D38">
        <w:rPr>
          <w:rFonts w:ascii="Arial" w:hAnsi="Arial" w:cs="Arial"/>
          <w:color w:val="4B4C4F"/>
        </w:rPr>
        <w:t xml:space="preserve">Consistently blocking change and failing to build on others’ ideas for change </w:t>
      </w:r>
    </w:p>
    <w:p w:rsidR="00AC3184" w:rsidRPr="00822D38" w:rsidRDefault="00526472" w:rsidP="005264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  <w:r w:rsidRPr="00822D38">
        <w:rPr>
          <w:rFonts w:ascii="Arial" w:hAnsi="Arial" w:cs="Arial"/>
          <w:color w:val="4B4C4F"/>
        </w:rPr>
        <w:t>Generating numerous ideas but not following any of them through</w:t>
      </w:r>
    </w:p>
    <w:sectPr w:rsidR="00AC3184" w:rsidRPr="00822D38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9.9pt;height:450.7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E66"/>
    <w:multiLevelType w:val="hybridMultilevel"/>
    <w:tmpl w:val="FCD4EC8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119A1"/>
    <w:multiLevelType w:val="hybridMultilevel"/>
    <w:tmpl w:val="B0C8953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D10B8"/>
    <w:multiLevelType w:val="hybridMultilevel"/>
    <w:tmpl w:val="CED2FE0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C4B73"/>
    <w:multiLevelType w:val="hybridMultilevel"/>
    <w:tmpl w:val="B290F0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B1BC3"/>
    <w:multiLevelType w:val="hybridMultilevel"/>
    <w:tmpl w:val="CC8A88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863A5"/>
    <w:multiLevelType w:val="hybridMultilevel"/>
    <w:tmpl w:val="EAC4E23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1259ED"/>
    <w:multiLevelType w:val="hybridMultilevel"/>
    <w:tmpl w:val="B5E0ED2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2537D"/>
    <w:multiLevelType w:val="hybridMultilevel"/>
    <w:tmpl w:val="63ECE2D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73066D"/>
    <w:multiLevelType w:val="hybridMultilevel"/>
    <w:tmpl w:val="6C9E6B0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B5388"/>
    <w:multiLevelType w:val="hybridMultilevel"/>
    <w:tmpl w:val="FE98C95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53989"/>
    <w:multiLevelType w:val="hybridMultilevel"/>
    <w:tmpl w:val="D9ECD84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1A2C7C"/>
    <w:rsid w:val="00260AC9"/>
    <w:rsid w:val="002B3752"/>
    <w:rsid w:val="002F5A81"/>
    <w:rsid w:val="003816BF"/>
    <w:rsid w:val="0044398F"/>
    <w:rsid w:val="00526472"/>
    <w:rsid w:val="006D6564"/>
    <w:rsid w:val="00822D38"/>
    <w:rsid w:val="009104CA"/>
    <w:rsid w:val="00A46D01"/>
    <w:rsid w:val="00AC3184"/>
    <w:rsid w:val="00B161C3"/>
    <w:rsid w:val="00CC0200"/>
    <w:rsid w:val="00CD388A"/>
    <w:rsid w:val="00CF1B84"/>
    <w:rsid w:val="00D228C8"/>
    <w:rsid w:val="00DA164B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25D9F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12</cp:revision>
  <cp:lastPrinted>2019-01-21T13:38:00Z</cp:lastPrinted>
  <dcterms:created xsi:type="dcterms:W3CDTF">2019-01-21T15:02:00Z</dcterms:created>
  <dcterms:modified xsi:type="dcterms:W3CDTF">2019-01-31T11:04:00Z</dcterms:modified>
</cp:coreProperties>
</file>