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AC3184" w:rsidRDefault="0046766E">
      <w:pPr>
        <w:rPr>
          <w:rFonts w:ascii="Arial" w:hAnsi="Arial" w:cs="Arial"/>
          <w:color w:val="616365"/>
        </w:rPr>
      </w:pPr>
      <w:r w:rsidRPr="00AC3184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5486400</wp:posOffset>
            </wp:positionH>
            <wp:positionV relativeFrom="page">
              <wp:posOffset>323850</wp:posOffset>
            </wp:positionV>
            <wp:extent cx="660400" cy="8096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W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6" r="8235"/>
                    <a:stretch/>
                  </pic:blipFill>
                  <pic:spPr bwMode="auto">
                    <a:xfrm>
                      <a:off x="0" y="0"/>
                      <a:ext cx="6604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184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3860800</wp:posOffset>
            </wp:positionH>
            <wp:positionV relativeFrom="page">
              <wp:posOffset>279400</wp:posOffset>
            </wp:positionV>
            <wp:extent cx="1625600" cy="852805"/>
            <wp:effectExtent l="0" t="0" r="0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5399" b="18488"/>
                    <a:stretch/>
                  </pic:blipFill>
                  <pic:spPr bwMode="auto">
                    <a:xfrm>
                      <a:off x="0" y="0"/>
                      <a:ext cx="16256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4CA" w:rsidRPr="0046766E" w:rsidRDefault="009104CA" w:rsidP="009104CA">
      <w:pPr>
        <w:jc w:val="center"/>
        <w:rPr>
          <w:rFonts w:ascii="Arial" w:hAnsi="Arial" w:cs="Arial"/>
          <w:b/>
          <w:color w:val="BD904C"/>
          <w:sz w:val="28"/>
        </w:rPr>
      </w:pPr>
      <w:bookmarkStart w:id="0" w:name="_GoBack"/>
      <w:bookmarkEnd w:id="0"/>
      <w:r w:rsidRPr="0046766E">
        <w:rPr>
          <w:rFonts w:ascii="Arial" w:hAnsi="Arial" w:cs="Arial"/>
          <w:b/>
          <w:color w:val="BD904C"/>
          <w:sz w:val="28"/>
        </w:rPr>
        <w:t>Engaging with the wider context</w:t>
      </w:r>
    </w:p>
    <w:p w:rsidR="009104CA" w:rsidRPr="00AC3184" w:rsidRDefault="009104CA" w:rsidP="009104CA">
      <w:pPr>
        <w:jc w:val="center"/>
        <w:rPr>
          <w:rFonts w:ascii="Arial" w:hAnsi="Arial" w:cs="Arial"/>
          <w:i/>
          <w:color w:val="616365"/>
        </w:rPr>
      </w:pPr>
      <w:r w:rsidRPr="00AC3184">
        <w:rPr>
          <w:rFonts w:ascii="Arial" w:hAnsi="Arial" w:cs="Arial"/>
          <w:i/>
          <w:color w:val="616365"/>
        </w:rPr>
        <w:t>Enhancing your contribution to the organisation through an understanding of the bigger picture and showing commitment to organisational values.</w:t>
      </w:r>
    </w:p>
    <w:p w:rsidR="009104CA" w:rsidRPr="0046766E" w:rsidRDefault="009104CA" w:rsidP="009104CA">
      <w:pPr>
        <w:rPr>
          <w:rFonts w:ascii="Arial" w:hAnsi="Arial" w:cs="Arial"/>
          <w:b/>
          <w:color w:val="BD904C"/>
          <w:sz w:val="24"/>
        </w:rPr>
      </w:pPr>
      <w:r w:rsidRPr="0046766E">
        <w:rPr>
          <w:rFonts w:ascii="Arial" w:hAnsi="Arial" w:cs="Arial"/>
          <w:b/>
          <w:color w:val="BD904C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AC3184" w:rsidTr="00DA164B">
        <w:trPr>
          <w:trHeight w:val="561"/>
        </w:trPr>
        <w:tc>
          <w:tcPr>
            <w:tcW w:w="3233" w:type="dxa"/>
          </w:tcPr>
          <w:p w:rsidR="003816BF" w:rsidRPr="00AC3184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AC3184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E32393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AC3184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AC3184" w:rsidTr="00DA164B">
        <w:trPr>
          <w:trHeight w:val="296"/>
        </w:trPr>
        <w:tc>
          <w:tcPr>
            <w:tcW w:w="3233" w:type="dxa"/>
          </w:tcPr>
          <w:p w:rsidR="003816BF" w:rsidRPr="00AC3184" w:rsidRDefault="00FB7D8F" w:rsidP="00DA16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Making connections and recognising how your work may impact at all levels across the organisation </w:t>
            </w:r>
          </w:p>
          <w:p w:rsidR="00DA164B" w:rsidRPr="00AC3184" w:rsidRDefault="00DA164B" w:rsidP="00DA16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AC3184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DA164B">
        <w:trPr>
          <w:trHeight w:val="280"/>
        </w:trPr>
        <w:tc>
          <w:tcPr>
            <w:tcW w:w="3233" w:type="dxa"/>
          </w:tcPr>
          <w:p w:rsidR="00FB7D8F" w:rsidRPr="00AC3184" w:rsidRDefault="00FB7D8F" w:rsidP="00FB7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Being aware and keeping abreast of sector wide and organisational developments </w:t>
            </w:r>
          </w:p>
          <w:p w:rsidR="003816BF" w:rsidRPr="00AC3184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AC3184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DA164B">
        <w:trPr>
          <w:trHeight w:val="280"/>
        </w:trPr>
        <w:tc>
          <w:tcPr>
            <w:tcW w:w="3233" w:type="dxa"/>
          </w:tcPr>
          <w:p w:rsidR="00FB7D8F" w:rsidRPr="00AC3184" w:rsidRDefault="00FB7D8F" w:rsidP="00FB7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Being clear about how own role fits in  </w:t>
            </w:r>
          </w:p>
          <w:p w:rsidR="003816BF" w:rsidRPr="00AC3184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AC3184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DA164B">
        <w:trPr>
          <w:trHeight w:val="264"/>
        </w:trPr>
        <w:tc>
          <w:tcPr>
            <w:tcW w:w="3233" w:type="dxa"/>
          </w:tcPr>
          <w:p w:rsidR="00FB7D8F" w:rsidRPr="00AC3184" w:rsidRDefault="00FB7D8F" w:rsidP="00FB7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Demonstrating organisational values through the ways that you work </w:t>
            </w:r>
          </w:p>
          <w:p w:rsidR="003816BF" w:rsidRPr="00AC3184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AC3184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DA164B">
        <w:trPr>
          <w:trHeight w:val="264"/>
        </w:trPr>
        <w:tc>
          <w:tcPr>
            <w:tcW w:w="3233" w:type="dxa"/>
          </w:tcPr>
          <w:p w:rsidR="00FB7D8F" w:rsidRPr="00AC3184" w:rsidRDefault="00FB7D8F" w:rsidP="00FB7D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Creating and articulating a purpose for own area of responsibility </w:t>
            </w:r>
          </w:p>
          <w:p w:rsidR="00FB7D8F" w:rsidRPr="00AC3184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AC3184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DA164B">
        <w:trPr>
          <w:trHeight w:val="264"/>
        </w:trPr>
        <w:tc>
          <w:tcPr>
            <w:tcW w:w="3233" w:type="dxa"/>
          </w:tcPr>
          <w:p w:rsidR="00FB7D8F" w:rsidRPr="00AC3184" w:rsidRDefault="00FB7D8F" w:rsidP="00FB7D8F">
            <w:pPr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Taking an active interest in the way the organisation works to inform your professional</w:t>
            </w:r>
            <w:r w:rsidR="00DA164B" w:rsidRPr="00AC3184">
              <w:rPr>
                <w:rFonts w:ascii="Arial" w:hAnsi="Arial" w:cs="Arial"/>
                <w:color w:val="616365"/>
              </w:rPr>
              <w:t xml:space="preserve"> p</w:t>
            </w:r>
            <w:r w:rsidRPr="00AC3184">
              <w:rPr>
                <w:rFonts w:ascii="Arial" w:hAnsi="Arial" w:cs="Arial"/>
                <w:color w:val="616365"/>
              </w:rPr>
              <w:t>ractice</w:t>
            </w:r>
          </w:p>
          <w:p w:rsidR="00FB7D8F" w:rsidRPr="00AC3184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AC3184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AC3184" w:rsidRDefault="00AC3184">
      <w:pPr>
        <w:rPr>
          <w:rFonts w:ascii="Arial" w:hAnsi="Arial" w:cs="Arial"/>
          <w:b/>
          <w:color w:val="616365"/>
          <w:sz w:val="24"/>
          <w:szCs w:val="24"/>
        </w:rPr>
      </w:pPr>
    </w:p>
    <w:p w:rsidR="00AC3184" w:rsidRDefault="00AC3184">
      <w:pPr>
        <w:rPr>
          <w:rFonts w:ascii="Arial" w:hAnsi="Arial" w:cs="Arial"/>
          <w:b/>
          <w:color w:val="616365"/>
          <w:sz w:val="24"/>
          <w:szCs w:val="24"/>
        </w:rPr>
      </w:pPr>
    </w:p>
    <w:p w:rsidR="00AC3184" w:rsidRDefault="00AC3184">
      <w:pPr>
        <w:rPr>
          <w:rFonts w:ascii="Arial" w:hAnsi="Arial" w:cs="Arial"/>
          <w:b/>
          <w:color w:val="616365"/>
          <w:sz w:val="24"/>
          <w:szCs w:val="24"/>
        </w:rPr>
      </w:pPr>
    </w:p>
    <w:p w:rsidR="00AC3184" w:rsidRDefault="00AC3184">
      <w:pPr>
        <w:rPr>
          <w:rFonts w:ascii="Arial" w:hAnsi="Arial" w:cs="Arial"/>
          <w:b/>
          <w:color w:val="616365"/>
          <w:sz w:val="24"/>
          <w:szCs w:val="24"/>
        </w:rPr>
      </w:pPr>
    </w:p>
    <w:p w:rsidR="00AC3184" w:rsidRDefault="00AC3184">
      <w:pPr>
        <w:rPr>
          <w:rFonts w:ascii="Arial" w:hAnsi="Arial" w:cs="Arial"/>
          <w:b/>
          <w:color w:val="616365"/>
          <w:sz w:val="24"/>
          <w:szCs w:val="24"/>
        </w:rPr>
      </w:pPr>
    </w:p>
    <w:p w:rsidR="000624A8" w:rsidRPr="0046766E" w:rsidRDefault="00AC3184">
      <w:pPr>
        <w:rPr>
          <w:rFonts w:ascii="Arial" w:hAnsi="Arial" w:cs="Arial"/>
          <w:b/>
          <w:color w:val="BD904C"/>
        </w:rPr>
      </w:pPr>
      <w:r w:rsidRPr="0046766E">
        <w:rPr>
          <w:rFonts w:ascii="Arial" w:hAnsi="Arial" w:cs="Arial"/>
          <w:b/>
          <w:color w:val="BD904C"/>
          <w:sz w:val="24"/>
          <w:szCs w:val="24"/>
        </w:rPr>
        <w:lastRenderedPageBreak/>
        <w:t>O</w:t>
      </w:r>
      <w:r w:rsidR="002F5A81" w:rsidRPr="0046766E">
        <w:rPr>
          <w:rFonts w:ascii="Arial" w:hAnsi="Arial" w:cs="Arial"/>
          <w:b/>
          <w:color w:val="BD904C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AC3184" w:rsidTr="00056FB2">
        <w:trPr>
          <w:trHeight w:val="561"/>
        </w:trPr>
        <w:tc>
          <w:tcPr>
            <w:tcW w:w="3233" w:type="dxa"/>
          </w:tcPr>
          <w:p w:rsidR="000624A8" w:rsidRPr="00AC3184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AC3184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E32393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AC3184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AC3184" w:rsidTr="00056FB2">
        <w:trPr>
          <w:trHeight w:val="296"/>
        </w:trPr>
        <w:tc>
          <w:tcPr>
            <w:tcW w:w="3233" w:type="dxa"/>
          </w:tcPr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Making clear for others the links between individual, team, department and organisational objectives  </w:t>
            </w:r>
          </w:p>
          <w:p w:rsidR="000624A8" w:rsidRPr="00AC3184" w:rsidRDefault="000624A8" w:rsidP="00056F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AC3184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056FB2">
        <w:trPr>
          <w:trHeight w:val="280"/>
        </w:trPr>
        <w:tc>
          <w:tcPr>
            <w:tcW w:w="3233" w:type="dxa"/>
          </w:tcPr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Providing clarity about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responsibilities and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accountabilities of others in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relation to the wider context </w:t>
            </w:r>
          </w:p>
          <w:p w:rsidR="000624A8" w:rsidRPr="00AC3184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AC3184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056FB2">
        <w:trPr>
          <w:trHeight w:val="280"/>
        </w:trPr>
        <w:tc>
          <w:tcPr>
            <w:tcW w:w="3233" w:type="dxa"/>
          </w:tcPr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Creating momentum and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enthusiasm about the role of the team within the wider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organisation  </w:t>
            </w:r>
          </w:p>
          <w:p w:rsidR="000624A8" w:rsidRPr="00AC3184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AC3184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056FB2">
        <w:trPr>
          <w:trHeight w:val="264"/>
        </w:trPr>
        <w:tc>
          <w:tcPr>
            <w:tcW w:w="3233" w:type="dxa"/>
          </w:tcPr>
          <w:p w:rsidR="000624A8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</w:rPr>
              <w:t>Consistently promoting and role modelling the organisational values</w:t>
            </w: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 xml:space="preserve"> 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AC3184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44398F" w:rsidRPr="00AC3184" w:rsidRDefault="0044398F">
      <w:pPr>
        <w:rPr>
          <w:rFonts w:ascii="Arial" w:hAnsi="Arial" w:cs="Arial"/>
          <w:color w:val="616365"/>
        </w:rPr>
      </w:pPr>
    </w:p>
    <w:p w:rsidR="002F5A81" w:rsidRPr="0046766E" w:rsidRDefault="002F5A81">
      <w:pPr>
        <w:rPr>
          <w:rFonts w:ascii="Arial" w:hAnsi="Arial" w:cs="Arial"/>
          <w:b/>
          <w:color w:val="BD904C"/>
          <w:sz w:val="24"/>
        </w:rPr>
      </w:pPr>
      <w:r w:rsidRPr="0046766E">
        <w:rPr>
          <w:rFonts w:ascii="Arial" w:hAnsi="Arial" w:cs="Arial"/>
          <w:b/>
          <w:color w:val="BD904C"/>
          <w:sz w:val="24"/>
        </w:rPr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AC3184" w:rsidTr="00056FB2">
        <w:trPr>
          <w:trHeight w:val="561"/>
        </w:trPr>
        <w:tc>
          <w:tcPr>
            <w:tcW w:w="3233" w:type="dxa"/>
          </w:tcPr>
          <w:p w:rsidR="002F5A81" w:rsidRPr="00AC3184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AC3184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E32393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AC3184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AC3184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AC3184" w:rsidTr="00056FB2">
        <w:trPr>
          <w:trHeight w:val="296"/>
        </w:trPr>
        <w:tc>
          <w:tcPr>
            <w:tcW w:w="3233" w:type="dxa"/>
          </w:tcPr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Ensuring plans are consistent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with the values and objectives of the organisation </w:t>
            </w:r>
          </w:p>
          <w:p w:rsidR="002F5A81" w:rsidRPr="00AC3184" w:rsidRDefault="002F5A81" w:rsidP="00056F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AC3184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056FB2">
        <w:trPr>
          <w:trHeight w:val="280"/>
        </w:trPr>
        <w:tc>
          <w:tcPr>
            <w:tcW w:w="3233" w:type="dxa"/>
          </w:tcPr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Keeping sight of the vision in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dealing with day-to-day</w:t>
            </w:r>
          </w:p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 xml:space="preserve">pressures </w:t>
            </w:r>
          </w:p>
          <w:p w:rsidR="002F5A81" w:rsidRPr="00AC3184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AC3184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AC3184" w:rsidTr="00056FB2">
        <w:trPr>
          <w:trHeight w:val="280"/>
        </w:trPr>
        <w:tc>
          <w:tcPr>
            <w:tcW w:w="3233" w:type="dxa"/>
          </w:tcPr>
          <w:p w:rsidR="002F5A81" w:rsidRPr="00AC3184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</w:rPr>
            </w:pPr>
            <w:r w:rsidRPr="00AC3184">
              <w:rPr>
                <w:rFonts w:ascii="Arial" w:hAnsi="Arial" w:cs="Arial"/>
                <w:color w:val="616365"/>
              </w:rPr>
              <w:t>Encouraging an organisation wide perspective through joined-up thinking and creating a sense of common purpose</w:t>
            </w:r>
          </w:p>
          <w:p w:rsidR="002F5A81" w:rsidRPr="00AC3184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43135A" w:rsidRPr="00AC3184" w:rsidRDefault="0043135A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AC3184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AC3184" w:rsidRDefault="002F5A81">
      <w:pPr>
        <w:rPr>
          <w:rFonts w:ascii="Arial" w:hAnsi="Arial" w:cs="Arial"/>
          <w:color w:val="616365"/>
          <w:sz w:val="24"/>
        </w:rPr>
      </w:pPr>
    </w:p>
    <w:p w:rsidR="00AC3184" w:rsidRPr="00AC3184" w:rsidRDefault="00AC3184" w:rsidP="00AC3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AC3184">
        <w:rPr>
          <w:rFonts w:ascii="Arial" w:hAnsi="Arial" w:cs="Arial"/>
          <w:color w:val="4B4C4F"/>
        </w:rPr>
        <w:lastRenderedPageBreak/>
        <w:t>Examples of behaviours that may indicate a need for further development in engaging with the wider context:</w:t>
      </w:r>
    </w:p>
    <w:p w:rsidR="00AC3184" w:rsidRPr="00AC3184" w:rsidRDefault="00AC3184" w:rsidP="00AC3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AC3184" w:rsidRPr="00AC3184" w:rsidRDefault="00AC3184" w:rsidP="00AC31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AC3184">
        <w:rPr>
          <w:rFonts w:ascii="Arial" w:hAnsi="Arial" w:cs="Arial"/>
          <w:color w:val="4B4C4F"/>
        </w:rPr>
        <w:t xml:space="preserve">Getting bogged down in detail – unable to see the wood for the trees </w:t>
      </w:r>
    </w:p>
    <w:p w:rsidR="00AC3184" w:rsidRPr="00AC3184" w:rsidRDefault="00AC3184" w:rsidP="00AC31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AC3184">
        <w:rPr>
          <w:rFonts w:ascii="Arial" w:hAnsi="Arial" w:cs="Arial"/>
          <w:color w:val="4B4C4F"/>
        </w:rPr>
        <w:t xml:space="preserve">Being too internally focused </w:t>
      </w:r>
    </w:p>
    <w:p w:rsidR="00AC3184" w:rsidRPr="00AC3184" w:rsidRDefault="00AC3184" w:rsidP="00AC31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  <w:r w:rsidRPr="00AC3184">
        <w:rPr>
          <w:rFonts w:ascii="Arial" w:hAnsi="Arial" w:cs="Arial"/>
          <w:color w:val="4B4C4F"/>
        </w:rPr>
        <w:t xml:space="preserve">Focusing on short-term issues at the expense of long term goals </w:t>
      </w:r>
    </w:p>
    <w:p w:rsidR="00AC3184" w:rsidRPr="00AC3184" w:rsidRDefault="00AC3184" w:rsidP="00AC31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  <w:r w:rsidRPr="00AC3184">
        <w:rPr>
          <w:rFonts w:ascii="Arial" w:hAnsi="Arial" w:cs="Arial"/>
          <w:color w:val="4B4C4F"/>
        </w:rPr>
        <w:t>Working in isolation</w:t>
      </w:r>
    </w:p>
    <w:sectPr w:rsidR="00AC3184" w:rsidRPr="00AC3184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FDA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0pt;height:450.5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2F5A81"/>
    <w:rsid w:val="003816BF"/>
    <w:rsid w:val="0043135A"/>
    <w:rsid w:val="0044398F"/>
    <w:rsid w:val="0046766E"/>
    <w:rsid w:val="009104CA"/>
    <w:rsid w:val="00AC3184"/>
    <w:rsid w:val="00DA164B"/>
    <w:rsid w:val="00E32393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5EEC2F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6</cp:revision>
  <dcterms:created xsi:type="dcterms:W3CDTF">2019-01-21T11:50:00Z</dcterms:created>
  <dcterms:modified xsi:type="dcterms:W3CDTF">2019-01-31T11:00:00Z</dcterms:modified>
</cp:coreProperties>
</file>